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B29E" w14:textId="77777777" w:rsidR="00C75F9E" w:rsidRPr="007D75DD" w:rsidRDefault="00C75F9E" w:rsidP="0094750E">
      <w:pPr>
        <w:widowControl/>
        <w:tabs>
          <w:tab w:val="right" w:pos="9746"/>
        </w:tabs>
        <w:autoSpaceDE w:val="0"/>
        <w:autoSpaceDN w:val="0"/>
        <w:snapToGrid w:val="0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7D75DD">
        <w:rPr>
          <w:rFonts w:ascii="標楷體" w:eastAsia="標楷體" w:hAnsi="標楷體"/>
          <w:b/>
          <w:sz w:val="28"/>
          <w:szCs w:val="28"/>
        </w:rPr>
        <w:t>講師：李思恩</w:t>
      </w:r>
      <w:r w:rsidRPr="007D75DD">
        <w:rPr>
          <w:rFonts w:ascii="標楷體" w:eastAsia="標楷體" w:hAnsi="標楷體"/>
          <w:b/>
          <w:sz w:val="28"/>
          <w:szCs w:val="28"/>
        </w:rPr>
        <w:tab/>
        <w:t>時數：</w:t>
      </w:r>
      <w:r w:rsidR="002D7C14">
        <w:rPr>
          <w:rFonts w:ascii="標楷體" w:eastAsia="標楷體" w:hAnsi="標楷體" w:hint="eastAsia"/>
          <w:b/>
          <w:sz w:val="28"/>
          <w:szCs w:val="28"/>
        </w:rPr>
        <w:t>7</w:t>
      </w:r>
      <w:r w:rsidRPr="007D75DD">
        <w:rPr>
          <w:rFonts w:ascii="標楷體" w:eastAsia="標楷體" w:hAnsi="標楷體"/>
          <w:b/>
          <w:sz w:val="28"/>
          <w:szCs w:val="28"/>
        </w:rPr>
        <w:t>小時</w:t>
      </w:r>
    </w:p>
    <w:tbl>
      <w:tblPr>
        <w:tblW w:w="97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5103"/>
        <w:gridCol w:w="850"/>
        <w:gridCol w:w="2394"/>
      </w:tblGrid>
      <w:tr w:rsidR="006F503F" w:rsidRPr="00B46F99" w14:paraId="6412D2AD" w14:textId="77777777" w:rsidTr="00D07264">
        <w:trPr>
          <w:cantSplit/>
          <w:jc w:val="center"/>
        </w:trPr>
        <w:tc>
          <w:tcPr>
            <w:tcW w:w="1437" w:type="dxa"/>
          </w:tcPr>
          <w:p w14:paraId="52FF1F67" w14:textId="279BA203" w:rsidR="006B751A" w:rsidRPr="00B46F99" w:rsidRDefault="00943906" w:rsidP="00B46F9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</w:rPr>
            </w:pPr>
            <w:r w:rsidRPr="00B46F99">
              <w:rPr>
                <w:rFonts w:hAnsi="新細明體"/>
                <w:b/>
              </w:rPr>
              <w:t>單元名稱</w:t>
            </w:r>
          </w:p>
        </w:tc>
        <w:tc>
          <w:tcPr>
            <w:tcW w:w="5103" w:type="dxa"/>
          </w:tcPr>
          <w:p w14:paraId="2064A19D" w14:textId="77777777" w:rsidR="006F503F" w:rsidRPr="00B46F99" w:rsidRDefault="00943906" w:rsidP="00B46F9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CN"/>
              </w:rPr>
            </w:pPr>
            <w:r w:rsidRPr="00B46F99">
              <w:rPr>
                <w:rFonts w:hAnsi="新細明體"/>
                <w:b/>
              </w:rPr>
              <w:t>課</w:t>
            </w:r>
            <w:r w:rsidRPr="00B46F99">
              <w:rPr>
                <w:b/>
              </w:rPr>
              <w:t xml:space="preserve">   </w:t>
            </w:r>
            <w:r w:rsidRPr="00B46F99">
              <w:rPr>
                <w:rFonts w:hAnsi="新細明體"/>
                <w:b/>
              </w:rPr>
              <w:t>程</w:t>
            </w:r>
            <w:r w:rsidRPr="00B46F99">
              <w:rPr>
                <w:b/>
              </w:rPr>
              <w:t xml:space="preserve">   </w:t>
            </w:r>
            <w:r w:rsidRPr="00B46F99">
              <w:rPr>
                <w:rFonts w:hAnsi="新細明體"/>
                <w:b/>
              </w:rPr>
              <w:t>大</w:t>
            </w:r>
            <w:r w:rsidRPr="00B46F99">
              <w:rPr>
                <w:b/>
              </w:rPr>
              <w:t xml:space="preserve">  </w:t>
            </w:r>
            <w:r w:rsidRPr="00B46F99">
              <w:rPr>
                <w:rFonts w:hAnsi="新細明體"/>
                <w:b/>
              </w:rPr>
              <w:t>綱</w:t>
            </w:r>
            <w:r w:rsidRPr="00B46F99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4F98CCCA" w14:textId="77777777" w:rsidR="006F503F" w:rsidRPr="00B46F99" w:rsidRDefault="00943906" w:rsidP="00B46F9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CN"/>
              </w:rPr>
            </w:pPr>
            <w:r w:rsidRPr="00B46F99">
              <w:rPr>
                <w:rFonts w:hAnsi="新細明體"/>
                <w:b/>
              </w:rPr>
              <w:t>時數</w:t>
            </w:r>
          </w:p>
        </w:tc>
        <w:tc>
          <w:tcPr>
            <w:tcW w:w="2394" w:type="dxa"/>
          </w:tcPr>
          <w:p w14:paraId="33F54989" w14:textId="77777777" w:rsidR="006F503F" w:rsidRPr="00B46F99" w:rsidRDefault="00943906" w:rsidP="00B46F99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CN"/>
              </w:rPr>
            </w:pPr>
            <w:r w:rsidRPr="00B46F99">
              <w:rPr>
                <w:rFonts w:hAnsi="新細明體"/>
                <w:b/>
              </w:rPr>
              <w:t>教學手法</w:t>
            </w:r>
          </w:p>
        </w:tc>
      </w:tr>
      <w:tr w:rsidR="00D744A9" w:rsidRPr="00B46F99" w14:paraId="0E8F7931" w14:textId="77777777" w:rsidTr="00D07264">
        <w:trPr>
          <w:cantSplit/>
          <w:jc w:val="center"/>
        </w:trPr>
        <w:tc>
          <w:tcPr>
            <w:tcW w:w="1437" w:type="dxa"/>
          </w:tcPr>
          <w:p w14:paraId="412922BF" w14:textId="78C87F54" w:rsidR="006B751A" w:rsidRPr="00B46F99" w:rsidRDefault="00AF2B15" w:rsidP="00B46F99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掌握老闆的意圖</w:t>
            </w:r>
          </w:p>
        </w:tc>
        <w:tc>
          <w:tcPr>
            <w:tcW w:w="5103" w:type="dxa"/>
          </w:tcPr>
          <w:p w14:paraId="7A68A15D" w14:textId="7CC6539C" w:rsidR="00282728" w:rsidRDefault="00282728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</w:pPr>
            <w:r w:rsidRPr="00AF2B15">
              <w:rPr>
                <w:rFonts w:hint="eastAsia"/>
                <w:b/>
              </w:rPr>
              <w:t>向上管理的目的</w:t>
            </w:r>
            <w:r w:rsidRPr="00AF2B15">
              <w:rPr>
                <w:b/>
              </w:rPr>
              <w:br/>
            </w:r>
            <w:r>
              <w:rPr>
                <w:rFonts w:hint="eastAsia"/>
              </w:rPr>
              <w:t>帶領學員思考做好向上管理對自身的好處，</w:t>
            </w:r>
            <w:r w:rsidR="00AF2B15">
              <w:rPr>
                <w:rFonts w:hint="eastAsia"/>
              </w:rPr>
              <w:t>以及背後的意義與目的。</w:t>
            </w:r>
          </w:p>
          <w:p w14:paraId="03FC7E51" w14:textId="35FA7BE1" w:rsidR="00AF2B15" w:rsidRPr="00AF2B15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</w:pPr>
            <w:proofErr w:type="gramStart"/>
            <w:r>
              <w:rPr>
                <w:rFonts w:hint="eastAsia"/>
                <w:b/>
              </w:rPr>
              <w:t>釐</w:t>
            </w:r>
            <w:proofErr w:type="gramEnd"/>
            <w:r>
              <w:rPr>
                <w:rFonts w:hint="eastAsia"/>
                <w:b/>
              </w:rPr>
              <w:t>清目的與標準</w:t>
            </w:r>
            <w:r>
              <w:rPr>
                <w:b/>
              </w:rPr>
              <w:br/>
            </w:r>
            <w:r w:rsidRPr="00AF2B15">
              <w:rPr>
                <w:rFonts w:hint="eastAsia"/>
              </w:rPr>
              <w:t>在接受任務指令時，不僅要明確老闆要求的目標與標準，更重要的是要掌握這個任務的目的與老闆的意圖，才能確保執行的方向是正確的。</w:t>
            </w:r>
          </w:p>
        </w:tc>
        <w:tc>
          <w:tcPr>
            <w:tcW w:w="850" w:type="dxa"/>
          </w:tcPr>
          <w:p w14:paraId="0886A466" w14:textId="24861EA0" w:rsidR="00D744A9" w:rsidRPr="00B46F99" w:rsidRDefault="00AF2B15" w:rsidP="00B46F99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</w:pPr>
            <w:r>
              <w:t>1hr.</w:t>
            </w:r>
          </w:p>
        </w:tc>
        <w:tc>
          <w:tcPr>
            <w:tcW w:w="2394" w:type="dxa"/>
          </w:tcPr>
          <w:p w14:paraId="1B971864" w14:textId="452ED184" w:rsidR="00C75F9E" w:rsidRPr="00B46F99" w:rsidRDefault="00AF2B15" w:rsidP="00B46F99">
            <w:pPr>
              <w:widowControl/>
              <w:autoSpaceDE w:val="0"/>
              <w:autoSpaceDN w:val="0"/>
              <w:snapToGrid w:val="0"/>
              <w:textAlignment w:val="bottom"/>
            </w:pPr>
            <w:r>
              <w:rPr>
                <w:rFonts w:hint="eastAsia"/>
              </w:rPr>
              <w:t>討論：任務目的</w:t>
            </w:r>
          </w:p>
        </w:tc>
      </w:tr>
      <w:tr w:rsidR="00AF2B15" w:rsidRPr="00B46F99" w14:paraId="164A171A" w14:textId="77777777" w:rsidTr="00D07264">
        <w:trPr>
          <w:cantSplit/>
          <w:jc w:val="center"/>
        </w:trPr>
        <w:tc>
          <w:tcPr>
            <w:tcW w:w="1437" w:type="dxa"/>
          </w:tcPr>
          <w:p w14:paraId="752F961C" w14:textId="51663D09" w:rsidR="00AF2B15" w:rsidRDefault="00AF2B15" w:rsidP="00AF2B15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積極傾聽正確提問</w:t>
            </w:r>
          </w:p>
        </w:tc>
        <w:tc>
          <w:tcPr>
            <w:tcW w:w="5103" w:type="dxa"/>
          </w:tcPr>
          <w:p w14:paraId="5122575D" w14:textId="77777777" w:rsidR="00AF2B15" w:rsidRPr="00AF2B15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  <w:rPr>
                <w:b/>
              </w:rPr>
            </w:pPr>
            <w:r w:rsidRPr="00AF2B15">
              <w:rPr>
                <w:rFonts w:hint="eastAsia"/>
                <w:b/>
              </w:rPr>
              <w:t>有效傾聽的原則</w:t>
            </w:r>
            <w:r>
              <w:rPr>
                <w:b/>
              </w:rPr>
              <w:br/>
            </w:r>
            <w:r>
              <w:rPr>
                <w:rFonts w:hint="eastAsia"/>
              </w:rPr>
              <w:t>藉由傾聽測試，讓學員瞭解本身的傾聽習慣，確認需要改善的行為。</w:t>
            </w:r>
          </w:p>
          <w:p w14:paraId="2D7E6394" w14:textId="77777777" w:rsidR="00AF2B15" w:rsidRPr="00AF2B15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  <w:rPr>
                <w:b/>
              </w:rPr>
            </w:pPr>
            <w:r w:rsidRPr="00AF2B15">
              <w:rPr>
                <w:rFonts w:hint="eastAsia"/>
                <w:b/>
              </w:rPr>
              <w:t>克服傾聽的障礙</w:t>
            </w:r>
            <w:r>
              <w:rPr>
                <w:b/>
              </w:rPr>
              <w:br/>
            </w:r>
            <w:r>
              <w:rPr>
                <w:rFonts w:hint="eastAsia"/>
              </w:rPr>
              <w:t>傾聽過程會面臨情緒上、語意上、環境上的障礙。藉由傳達圖像的演練，讓學員掌握排除障礙的技巧，並瞭解回饋對有效溝通的效果。</w:t>
            </w:r>
          </w:p>
          <w:p w14:paraId="64BEE19B" w14:textId="36EFCB03" w:rsidR="00AF2B15" w:rsidRPr="00282728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  <w:rPr>
                <w:b/>
              </w:rPr>
            </w:pPr>
            <w:r>
              <w:rPr>
                <w:rFonts w:hAnsi="新細明體" w:hint="eastAsia"/>
                <w:b/>
              </w:rPr>
              <w:t>接受指</w:t>
            </w:r>
            <w:r w:rsidRPr="00B46F99">
              <w:rPr>
                <w:rFonts w:hAnsi="新細明體" w:hint="eastAsia"/>
                <w:b/>
              </w:rPr>
              <w:t>令</w:t>
            </w:r>
            <w:r>
              <w:rPr>
                <w:rFonts w:hAnsi="新細明體" w:hint="eastAsia"/>
                <w:b/>
              </w:rPr>
              <w:t>與澄清提問</w:t>
            </w:r>
            <w:r w:rsidRPr="00B46F99">
              <w:rPr>
                <w:rFonts w:hAnsi="新細明體"/>
                <w:b/>
              </w:rPr>
              <w:br/>
            </w:r>
            <w:r w:rsidRPr="00B46F99">
              <w:rPr>
                <w:rFonts w:hint="eastAsia"/>
              </w:rPr>
              <w:t>藉由案例討論，掌握接受指令時應注意的</w:t>
            </w:r>
            <w:r>
              <w:rPr>
                <w:rFonts w:hint="eastAsia"/>
              </w:rPr>
              <w:t>五個</w:t>
            </w:r>
            <w:r w:rsidRPr="00B46F99">
              <w:rPr>
                <w:rFonts w:hint="eastAsia"/>
              </w:rPr>
              <w:t>要點</w:t>
            </w:r>
            <w:r>
              <w:rPr>
                <w:rFonts w:hint="eastAsia"/>
              </w:rPr>
              <w:t>，以及確認指令接收的步驟。並掌握向上司澄清提問的語法及技巧。</w:t>
            </w:r>
          </w:p>
          <w:p w14:paraId="3D9EA6B5" w14:textId="3E650D91" w:rsidR="00AF2B15" w:rsidRPr="00AF2B15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  <w:rPr>
                <w:b/>
              </w:rPr>
            </w:pPr>
            <w:r w:rsidRPr="00282728">
              <w:rPr>
                <w:rFonts w:hint="eastAsia"/>
                <w:b/>
              </w:rPr>
              <w:t>任務回報</w:t>
            </w:r>
            <w:r>
              <w:rPr>
                <w:rFonts w:hint="eastAsia"/>
                <w:b/>
              </w:rPr>
              <w:t>並爭取支持</w:t>
            </w:r>
            <w:r>
              <w:rPr>
                <w:b/>
              </w:rPr>
              <w:br/>
            </w:r>
            <w:r w:rsidRPr="00AF2B15">
              <w:rPr>
                <w:rFonts w:hint="eastAsia"/>
              </w:rPr>
              <w:t>學習與上司商定階段性目標或里程碑，</w:t>
            </w:r>
            <w:r>
              <w:rPr>
                <w:rFonts w:hint="eastAsia"/>
              </w:rPr>
              <w:t>按時回報任務進度，讓老闆放心。並且正確表達需要支持的事項，爭取相關資源。</w:t>
            </w:r>
          </w:p>
        </w:tc>
        <w:tc>
          <w:tcPr>
            <w:tcW w:w="850" w:type="dxa"/>
          </w:tcPr>
          <w:p w14:paraId="0A6E5562" w14:textId="745D13C9" w:rsidR="00AF2B15" w:rsidRPr="00B46F99" w:rsidRDefault="00AF2B15" w:rsidP="00AF2B15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</w:pPr>
            <w:r w:rsidRPr="00B46F99">
              <w:t>3</w:t>
            </w:r>
            <w:r>
              <w:t>hrs.</w:t>
            </w:r>
          </w:p>
        </w:tc>
        <w:tc>
          <w:tcPr>
            <w:tcW w:w="2394" w:type="dxa"/>
          </w:tcPr>
          <w:p w14:paraId="45CE4C18" w14:textId="4196DDD0" w:rsidR="00AF2B15" w:rsidRPr="00B46F99" w:rsidRDefault="00AF2B15" w:rsidP="00AF2B15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</w:rPr>
            </w:pPr>
            <w:r>
              <w:rPr>
                <w:rFonts w:hAnsi="新細明體" w:hint="eastAsia"/>
              </w:rPr>
              <w:t>討論：蘇中堂的疑惑</w:t>
            </w:r>
          </w:p>
        </w:tc>
      </w:tr>
      <w:tr w:rsidR="00AF2B15" w:rsidRPr="00B46F99" w14:paraId="683F7A9D" w14:textId="77777777" w:rsidTr="00D07264">
        <w:trPr>
          <w:jc w:val="center"/>
        </w:trPr>
        <w:tc>
          <w:tcPr>
            <w:tcW w:w="1437" w:type="dxa"/>
          </w:tcPr>
          <w:p w14:paraId="27C90631" w14:textId="1ACE9D9C" w:rsidR="00AF2B15" w:rsidRPr="00B46F99" w:rsidRDefault="00AF2B15" w:rsidP="00AF2B15">
            <w:pPr>
              <w:widowControl/>
              <w:tabs>
                <w:tab w:val="left" w:pos="426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hAnsi="新細明體"/>
                <w:b/>
                <w:bCs/>
              </w:rPr>
            </w:pPr>
            <w:r>
              <w:rPr>
                <w:rFonts w:hAnsi="新細明體" w:hint="eastAsia"/>
                <w:b/>
                <w:bCs/>
              </w:rPr>
              <w:t>有效說服爭取支持</w:t>
            </w:r>
          </w:p>
        </w:tc>
        <w:tc>
          <w:tcPr>
            <w:tcW w:w="5103" w:type="dxa"/>
          </w:tcPr>
          <w:p w14:paraId="4FE3779B" w14:textId="77777777" w:rsidR="00AF2B15" w:rsidRPr="00AF2B15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</w:pPr>
            <w:r w:rsidRPr="00B46F99">
              <w:rPr>
                <w:rFonts w:hAnsi="新細明體"/>
                <w:b/>
              </w:rPr>
              <w:t>有效</w:t>
            </w:r>
            <w:r>
              <w:rPr>
                <w:rFonts w:hAnsi="新細明體" w:hint="eastAsia"/>
                <w:b/>
              </w:rPr>
              <w:t>說服</w:t>
            </w:r>
            <w:r w:rsidRPr="00B46F99">
              <w:rPr>
                <w:rFonts w:hAnsi="新細明體" w:hint="eastAsia"/>
                <w:b/>
              </w:rPr>
              <w:t>四</w:t>
            </w:r>
            <w:r w:rsidRPr="00B46F99">
              <w:rPr>
                <w:rFonts w:hAnsi="新細明體"/>
                <w:b/>
              </w:rPr>
              <w:t>步驟</w:t>
            </w:r>
            <w:r w:rsidRPr="00B46F99">
              <w:rPr>
                <w:rFonts w:hAnsi="新細明體"/>
                <w:b/>
              </w:rPr>
              <w:br/>
            </w:r>
            <w:r w:rsidRPr="00B46F99">
              <w:rPr>
                <w:rFonts w:ascii="新細明體" w:hAnsi="新細明體"/>
                <w:bCs/>
              </w:rPr>
              <w:t>藉由影片範例進行討論，歸納整理有效說服、幫助理解</w:t>
            </w:r>
            <w:r w:rsidRPr="00B46F99">
              <w:rPr>
                <w:rFonts w:ascii="新細明體" w:hAnsi="新細明體" w:hint="eastAsia"/>
                <w:bCs/>
              </w:rPr>
              <w:t>進而使對方接受</w:t>
            </w:r>
            <w:r w:rsidRPr="00B46F99">
              <w:rPr>
                <w:rFonts w:ascii="新細明體" w:hAnsi="新細明體"/>
                <w:bCs/>
              </w:rPr>
              <w:t>的</w:t>
            </w:r>
            <w:r w:rsidRPr="00B46F99">
              <w:rPr>
                <w:rFonts w:ascii="新細明體" w:hAnsi="新細明體" w:hint="eastAsia"/>
                <w:bCs/>
              </w:rPr>
              <w:t>步驟與對應</w:t>
            </w:r>
            <w:r w:rsidRPr="00B46F99">
              <w:rPr>
                <w:rFonts w:ascii="新細明體" w:hAnsi="新細明體"/>
                <w:bCs/>
              </w:rPr>
              <w:t>技巧。</w:t>
            </w:r>
          </w:p>
          <w:p w14:paraId="4F00F5C6" w14:textId="70783DB0" w:rsidR="00AF2B15" w:rsidRPr="00B46F99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</w:pPr>
            <w:r w:rsidRPr="00B46F99">
              <w:rPr>
                <w:rFonts w:hAnsi="新細明體" w:hint="eastAsia"/>
                <w:b/>
              </w:rPr>
              <w:t>知</w:t>
            </w:r>
            <w:proofErr w:type="gramStart"/>
            <w:r w:rsidRPr="00B46F99">
              <w:rPr>
                <w:rFonts w:hAnsi="新細明體" w:hint="eastAsia"/>
                <w:b/>
              </w:rPr>
              <w:t>人知面更</w:t>
            </w:r>
            <w:proofErr w:type="gramEnd"/>
            <w:r w:rsidRPr="00B46F99">
              <w:rPr>
                <w:rFonts w:hAnsi="新細明體" w:hint="eastAsia"/>
                <w:b/>
              </w:rPr>
              <w:t>知心</w:t>
            </w:r>
            <w:r w:rsidRPr="00B46F99">
              <w:rPr>
                <w:rFonts w:hAnsi="新細明體"/>
                <w:b/>
              </w:rPr>
              <w:br/>
            </w:r>
            <w:r w:rsidRPr="00B46F99">
              <w:rPr>
                <w:rFonts w:hAnsi="新細明體"/>
              </w:rPr>
              <w:t>測試並分析心理學大師榮</w:t>
            </w:r>
            <w:r w:rsidRPr="00B46F99">
              <w:rPr>
                <w:rFonts w:hAnsi="新細明體" w:hint="eastAsia"/>
              </w:rPr>
              <w:t>格</w:t>
            </w:r>
            <w:r w:rsidRPr="00B46F99">
              <w:rPr>
                <w:rFonts w:hAnsi="新細明體"/>
              </w:rPr>
              <w:t>提出的四種不同風格的性格特徵偏向。</w:t>
            </w:r>
          </w:p>
          <w:p w14:paraId="72E19BBF" w14:textId="77777777" w:rsidR="00AF2B15" w:rsidRPr="00B46F99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</w:pPr>
            <w:r w:rsidRPr="00B46F99">
              <w:rPr>
                <w:rFonts w:hAnsi="新細明體"/>
                <w:b/>
              </w:rPr>
              <w:t>人格特質分析</w:t>
            </w:r>
            <w:r w:rsidRPr="00B46F99">
              <w:rPr>
                <w:rFonts w:hAnsi="新細明體"/>
                <w:b/>
              </w:rPr>
              <w:br/>
            </w:r>
            <w:r w:rsidRPr="00B46F99">
              <w:rPr>
                <w:rFonts w:hAnsi="新細明體"/>
              </w:rPr>
              <w:t>透過四種風格的優缺點</w:t>
            </w:r>
            <w:r w:rsidRPr="00B46F99">
              <w:rPr>
                <w:rFonts w:hAnsi="新細明體" w:hint="eastAsia"/>
              </w:rPr>
              <w:t>介紹</w:t>
            </w:r>
            <w:r w:rsidRPr="00B46F99">
              <w:rPr>
                <w:rFonts w:hAnsi="新細明體"/>
              </w:rPr>
              <w:t>和現場舉例探討，讓學員善於觀察和檢視不同風格之間的</w:t>
            </w:r>
            <w:r w:rsidRPr="00B46F99">
              <w:rPr>
                <w:rFonts w:hAnsi="新細明體" w:hint="eastAsia"/>
              </w:rPr>
              <w:t>異同，並且掌握自我調整的要點</w:t>
            </w:r>
            <w:r w:rsidRPr="00B46F99">
              <w:rPr>
                <w:rFonts w:hAnsi="新細明體"/>
              </w:rPr>
              <w:t>。</w:t>
            </w:r>
          </w:p>
          <w:p w14:paraId="65FF5FF0" w14:textId="5420E107" w:rsidR="00AF2B15" w:rsidRPr="00AF2B15" w:rsidRDefault="00AF2B15" w:rsidP="00AF2B15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autoSpaceDE w:val="0"/>
              <w:autoSpaceDN w:val="0"/>
              <w:snapToGrid w:val="0"/>
              <w:ind w:left="240" w:hangingChars="100" w:hanging="240"/>
              <w:textAlignment w:val="bottom"/>
              <w:rPr>
                <w:b/>
              </w:rPr>
            </w:pPr>
            <w:r w:rsidRPr="00B46F99">
              <w:rPr>
                <w:rFonts w:hAnsi="新細明體" w:hint="eastAsia"/>
                <w:b/>
              </w:rPr>
              <w:t>善用特質選定策略</w:t>
            </w:r>
            <w:r w:rsidRPr="00B46F99">
              <w:rPr>
                <w:rFonts w:hAnsi="新細明體"/>
                <w:b/>
              </w:rPr>
              <w:br/>
            </w:r>
            <w:r w:rsidRPr="00B46F99">
              <w:rPr>
                <w:rFonts w:hAnsi="新細明體" w:hint="eastAsia"/>
                <w:bCs/>
              </w:rPr>
              <w:t>小組討論面對不同人際風格的說服技巧與避免衝突的方法，提升溝通效率，有效達成</w:t>
            </w:r>
          </w:p>
        </w:tc>
        <w:tc>
          <w:tcPr>
            <w:tcW w:w="850" w:type="dxa"/>
          </w:tcPr>
          <w:p w14:paraId="111067BC" w14:textId="3F2BFC2B" w:rsidR="00AF2B15" w:rsidRPr="00B46F99" w:rsidRDefault="00AF2B15" w:rsidP="00AF2B15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</w:pPr>
            <w:r w:rsidRPr="00B46F99">
              <w:t>3</w:t>
            </w:r>
            <w:r>
              <w:t>hrs.</w:t>
            </w:r>
          </w:p>
        </w:tc>
        <w:tc>
          <w:tcPr>
            <w:tcW w:w="2394" w:type="dxa"/>
          </w:tcPr>
          <w:p w14:paraId="21C1D8FB" w14:textId="77777777" w:rsidR="00AF2B15" w:rsidRDefault="00AF2B15" w:rsidP="00AF2B15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</w:rPr>
            </w:pPr>
            <w:r>
              <w:rPr>
                <w:rFonts w:hAnsi="新細明體" w:hint="eastAsia"/>
              </w:rPr>
              <w:t>測試：個人風格</w:t>
            </w:r>
          </w:p>
          <w:p w14:paraId="06E5A1C9" w14:textId="77777777" w:rsidR="00AF2B15" w:rsidRDefault="00AF2B15" w:rsidP="00AF2B15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</w:rPr>
            </w:pPr>
            <w:r>
              <w:rPr>
                <w:rFonts w:hAnsi="新細明體" w:hint="eastAsia"/>
              </w:rPr>
              <w:t>討論：不同風格對應</w:t>
            </w:r>
          </w:p>
          <w:p w14:paraId="3D686034" w14:textId="53D672ED" w:rsidR="00AF2B15" w:rsidRPr="00B46F99" w:rsidRDefault="00FB197B" w:rsidP="00AF2B15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</w:rPr>
            </w:pPr>
            <w:r>
              <w:rPr>
                <w:rFonts w:hAnsi="新細明體" w:hint="eastAsia"/>
              </w:rPr>
              <w:t>討論：鬱悶的馬克</w:t>
            </w:r>
          </w:p>
        </w:tc>
      </w:tr>
    </w:tbl>
    <w:p w14:paraId="692DD692" w14:textId="77777777" w:rsidR="0056429A" w:rsidRPr="004A5FD6" w:rsidRDefault="0056429A" w:rsidP="004A5FD6">
      <w:pPr>
        <w:pStyle w:val="a3"/>
        <w:pBdr>
          <w:bottom w:val="none" w:sz="0" w:space="0" w:color="auto"/>
        </w:pBdr>
        <w:rPr>
          <w:rFonts w:ascii="Times New Roman" w:eastAsia="新細明體"/>
          <w:color w:val="0070C0"/>
          <w:sz w:val="24"/>
          <w:szCs w:val="14"/>
        </w:rPr>
      </w:pPr>
    </w:p>
    <w:sectPr w:rsidR="0056429A" w:rsidRPr="004A5FD6" w:rsidSect="00D07264">
      <w:headerReference w:type="default" r:id="rId7"/>
      <w:footerReference w:type="default" r:id="rId8"/>
      <w:pgSz w:w="11906" w:h="16838"/>
      <w:pgMar w:top="2268" w:right="1080" w:bottom="1440" w:left="1080" w:header="1258" w:footer="8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AD6D" w14:textId="77777777" w:rsidR="002362A7" w:rsidRDefault="002362A7">
      <w:r>
        <w:separator/>
      </w:r>
    </w:p>
  </w:endnote>
  <w:endnote w:type="continuationSeparator" w:id="0">
    <w:p w14:paraId="2C13F228" w14:textId="77777777" w:rsidR="002362A7" w:rsidRDefault="002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BDBA" w14:textId="062CB9A1" w:rsidR="00CD5868" w:rsidRPr="000E2FD8" w:rsidRDefault="00CD5868" w:rsidP="00D07264">
    <w:pPr>
      <w:pStyle w:val="a6"/>
      <w:pBdr>
        <w:top w:val="single" w:sz="12" w:space="1" w:color="auto"/>
      </w:pBdr>
      <w:tabs>
        <w:tab w:val="clear" w:pos="8306"/>
        <w:tab w:val="right" w:pos="8820"/>
      </w:tabs>
      <w:ind w:rightChars="44" w:right="106"/>
      <w:rPr>
        <w:b/>
        <w:sz w:val="24"/>
        <w:szCs w:val="24"/>
      </w:rPr>
    </w:pPr>
    <w:r w:rsidRPr="0089701D">
      <w:rPr>
        <w:b/>
        <w:sz w:val="28"/>
        <w:szCs w:val="28"/>
      </w:rPr>
      <w:t>Copyright</w:t>
    </w:r>
    <w:r>
      <w:rPr>
        <w:b/>
        <w:sz w:val="28"/>
        <w:szCs w:val="28"/>
      </w:rPr>
      <w:fldChar w:fldCharType="begin"/>
    </w:r>
    <w:r w:rsidRPr="0089701D">
      <w:rPr>
        <w:b/>
        <w:sz w:val="28"/>
        <w:szCs w:val="28"/>
      </w:rPr>
      <w:instrText xml:space="preserve"> </w:instrText>
    </w:r>
    <w:r w:rsidRPr="0089701D">
      <w:rPr>
        <w:rFonts w:hint="eastAsia"/>
        <w:b/>
        <w:sz w:val="28"/>
        <w:szCs w:val="28"/>
      </w:rPr>
      <w:instrText>eq \o\ac(</w:instrText>
    </w:r>
    <w:r w:rsidRPr="0089701D">
      <w:rPr>
        <w:rFonts w:hint="eastAsia"/>
        <w:b/>
        <w:sz w:val="28"/>
        <w:szCs w:val="28"/>
      </w:rPr>
      <w:instrText>○</w:instrText>
    </w:r>
    <w:r w:rsidRPr="0089701D">
      <w:rPr>
        <w:rFonts w:hint="eastAsia"/>
        <w:b/>
        <w:sz w:val="28"/>
        <w:szCs w:val="28"/>
      </w:rPr>
      <w:instrText>,</w:instrText>
    </w:r>
    <w:r w:rsidRPr="0089701D">
      <w:rPr>
        <w:rFonts w:hint="eastAsia"/>
        <w:b/>
        <w:position w:val="3"/>
        <w:sz w:val="19"/>
        <w:szCs w:val="28"/>
      </w:rPr>
      <w:instrText>C</w:instrText>
    </w:r>
    <w:r w:rsidRPr="0089701D">
      <w:rPr>
        <w:rFonts w:hint="eastAsia"/>
        <w:b/>
        <w:sz w:val="28"/>
        <w:szCs w:val="28"/>
      </w:rPr>
      <w:instrText>)</w:instrText>
    </w:r>
    <w:r>
      <w:rPr>
        <w:b/>
        <w:sz w:val="28"/>
        <w:szCs w:val="28"/>
      </w:rPr>
      <w:fldChar w:fldCharType="end"/>
    </w:r>
    <w:r w:rsidRPr="0089701D">
      <w:rPr>
        <w:b/>
        <w:sz w:val="24"/>
        <w:szCs w:val="24"/>
      </w:rPr>
      <w:t xml:space="preserve"> 20</w:t>
    </w:r>
    <w:r w:rsidR="00D07264">
      <w:rPr>
        <w:b/>
        <w:sz w:val="24"/>
        <w:szCs w:val="24"/>
      </w:rPr>
      <w:t>2</w:t>
    </w:r>
    <w:r w:rsidR="00F33898">
      <w:rPr>
        <w:b/>
        <w:sz w:val="24"/>
        <w:szCs w:val="24"/>
      </w:rPr>
      <w:t>4</w:t>
    </w:r>
    <w:r w:rsidRPr="0089701D">
      <w:rPr>
        <w:b/>
        <w:sz w:val="24"/>
        <w:szCs w:val="24"/>
      </w:rPr>
      <w:t xml:space="preserve">, </w:t>
    </w:r>
    <w:r w:rsidRPr="0089701D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  <w:t>e-mail: solomon@interasia-group.com.tw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3E29" w14:textId="77777777" w:rsidR="002362A7" w:rsidRDefault="002362A7">
      <w:r>
        <w:separator/>
      </w:r>
    </w:p>
  </w:footnote>
  <w:footnote w:type="continuationSeparator" w:id="0">
    <w:p w14:paraId="3A651344" w14:textId="77777777" w:rsidR="002362A7" w:rsidRDefault="002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DF10" w14:textId="77777777" w:rsidR="00CD5868" w:rsidRPr="000E2FD8" w:rsidRDefault="00CD5868" w:rsidP="00D07264">
    <w:pPr>
      <w:pStyle w:val="a3"/>
      <w:ind w:rightChars="-14" w:right="-34"/>
      <w:rPr>
        <w:rFonts w:ascii="新細明體" w:eastAsia="新細明體" w:hAnsi="新細明體"/>
        <w:b/>
      </w:rPr>
    </w:pPr>
    <w:r w:rsidRPr="000E2FD8">
      <w:rPr>
        <w:rFonts w:ascii="新細明體" w:eastAsia="新細明體" w:hAnsi="新細明體"/>
        <w:b/>
      </w:rPr>
      <w:t>「</w:t>
    </w:r>
    <w:r>
      <w:rPr>
        <w:rFonts w:ascii="新細明體" w:eastAsia="新細明體" w:hAnsi="新細明體" w:hint="eastAsia"/>
        <w:b/>
      </w:rPr>
      <w:t>向上管理</w:t>
    </w:r>
    <w:r w:rsidRPr="000E2FD8">
      <w:rPr>
        <w:rFonts w:ascii="新細明體" w:eastAsia="新細明體" w:hAnsi="新細明體"/>
        <w:b/>
      </w:rPr>
      <w:t>」課程大綱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E2F"/>
    <w:multiLevelType w:val="hybridMultilevel"/>
    <w:tmpl w:val="AF24A1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C432E"/>
    <w:multiLevelType w:val="hybridMultilevel"/>
    <w:tmpl w:val="F4CE26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C62A4"/>
    <w:multiLevelType w:val="hybridMultilevel"/>
    <w:tmpl w:val="A7D29090"/>
    <w:lvl w:ilvl="0" w:tplc="04090001">
      <w:start w:val="1"/>
      <w:numFmt w:val="bullet"/>
      <w:lvlText w:val=""/>
      <w:lvlJc w:val="left"/>
      <w:pPr>
        <w:tabs>
          <w:tab w:val="num" w:pos="665"/>
        </w:tabs>
        <w:ind w:left="6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5"/>
        </w:tabs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5"/>
        </w:tabs>
        <w:ind w:left="1625" w:hanging="480"/>
      </w:pPr>
      <w:rPr>
        <w:rFonts w:ascii="Wingdings" w:hAnsi="Wingdings" w:hint="default"/>
      </w:rPr>
    </w:lvl>
    <w:lvl w:ilvl="3" w:tplc="CA22F6C6">
      <w:start w:val="1"/>
      <w:numFmt w:val="bullet"/>
      <w:lvlText w:val="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5"/>
        </w:tabs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5"/>
        </w:tabs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5"/>
        </w:tabs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5"/>
        </w:tabs>
        <w:ind w:left="4505" w:hanging="480"/>
      </w:pPr>
      <w:rPr>
        <w:rFonts w:ascii="Wingdings" w:hAnsi="Wingdings" w:hint="default"/>
      </w:rPr>
    </w:lvl>
  </w:abstractNum>
  <w:num w:numId="1" w16cid:durableId="1889107651">
    <w:abstractNumId w:val="0"/>
  </w:num>
  <w:num w:numId="2" w16cid:durableId="427307913">
    <w:abstractNumId w:val="1"/>
  </w:num>
  <w:num w:numId="3" w16cid:durableId="201484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03F"/>
    <w:rsid w:val="00034D0D"/>
    <w:rsid w:val="000529E6"/>
    <w:rsid w:val="000E2FD8"/>
    <w:rsid w:val="0014304B"/>
    <w:rsid w:val="00172071"/>
    <w:rsid w:val="001F3171"/>
    <w:rsid w:val="00222D21"/>
    <w:rsid w:val="002362A7"/>
    <w:rsid w:val="00265394"/>
    <w:rsid w:val="00282728"/>
    <w:rsid w:val="002D7C14"/>
    <w:rsid w:val="003465B9"/>
    <w:rsid w:val="00350752"/>
    <w:rsid w:val="00392ECF"/>
    <w:rsid w:val="003F5458"/>
    <w:rsid w:val="00424600"/>
    <w:rsid w:val="00444A48"/>
    <w:rsid w:val="00453D64"/>
    <w:rsid w:val="004545CD"/>
    <w:rsid w:val="004978AE"/>
    <w:rsid w:val="004A5FD6"/>
    <w:rsid w:val="005347B2"/>
    <w:rsid w:val="0056429A"/>
    <w:rsid w:val="00627EF8"/>
    <w:rsid w:val="006B751A"/>
    <w:rsid w:val="006F503F"/>
    <w:rsid w:val="00715EB0"/>
    <w:rsid w:val="007D75DD"/>
    <w:rsid w:val="0080008B"/>
    <w:rsid w:val="00874ED3"/>
    <w:rsid w:val="008A3CFD"/>
    <w:rsid w:val="00943906"/>
    <w:rsid w:val="0094750E"/>
    <w:rsid w:val="009A5683"/>
    <w:rsid w:val="009B1B4F"/>
    <w:rsid w:val="009D3D1A"/>
    <w:rsid w:val="00A31434"/>
    <w:rsid w:val="00A45D5F"/>
    <w:rsid w:val="00AF2B15"/>
    <w:rsid w:val="00B06012"/>
    <w:rsid w:val="00B46F99"/>
    <w:rsid w:val="00B803F3"/>
    <w:rsid w:val="00BD5B1C"/>
    <w:rsid w:val="00C00DFB"/>
    <w:rsid w:val="00C75F9E"/>
    <w:rsid w:val="00C9105B"/>
    <w:rsid w:val="00CD5868"/>
    <w:rsid w:val="00D07264"/>
    <w:rsid w:val="00D744A9"/>
    <w:rsid w:val="00DC242E"/>
    <w:rsid w:val="00DC285C"/>
    <w:rsid w:val="00DD4567"/>
    <w:rsid w:val="00E062F7"/>
    <w:rsid w:val="00E25F7D"/>
    <w:rsid w:val="00E36F79"/>
    <w:rsid w:val="00F33898"/>
    <w:rsid w:val="00F85791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530607"/>
  <w15:chartTrackingRefBased/>
  <w15:docId w15:val="{59FAD9F9-294A-4A81-9315-CE8B26FB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0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F503F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rsid w:val="006F503F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  <w:szCs w:val="20"/>
    </w:rPr>
  </w:style>
  <w:style w:type="paragraph" w:styleId="a4">
    <w:name w:val="endnote text"/>
    <w:basedOn w:val="a"/>
    <w:semiHidden/>
    <w:rsid w:val="006F503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customStyle="1" w:styleId="0">
    <w:name w:val="0內文"/>
    <w:basedOn w:val="a"/>
    <w:rsid w:val="006F503F"/>
    <w:pPr>
      <w:adjustRightInd w:val="0"/>
      <w:spacing w:line="500" w:lineRule="atLeast"/>
      <w:ind w:left="568" w:right="566"/>
      <w:textAlignment w:val="baseline"/>
    </w:pPr>
    <w:rPr>
      <w:rFonts w:ascii="華康中楷體" w:eastAsia="華康中楷體"/>
      <w:noProof/>
      <w:kern w:val="0"/>
      <w:sz w:val="28"/>
      <w:szCs w:val="20"/>
    </w:rPr>
  </w:style>
  <w:style w:type="paragraph" w:styleId="a5">
    <w:name w:val="head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85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3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溝通技巧課程大綱</dc:title>
  <dc:subject/>
  <dc:creator>Solomon</dc:creator>
  <cp:keywords/>
  <dc:description/>
  <cp:lastModifiedBy>Solomon Lee</cp:lastModifiedBy>
  <cp:revision>5</cp:revision>
  <dcterms:created xsi:type="dcterms:W3CDTF">2019-01-30T02:24:00Z</dcterms:created>
  <dcterms:modified xsi:type="dcterms:W3CDTF">2024-01-30T09:53:00Z</dcterms:modified>
</cp:coreProperties>
</file>